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666FAA" w:rsidRDefault="00000000">
      <w:pPr>
        <w:pStyle w:val="Title"/>
        <w:jc w:val="center"/>
      </w:pPr>
      <w:r>
        <w:t>Regolamento di organizzazione e funzionamento</w:t>
      </w:r>
    </w:p>
    <w:p w14:paraId="00000007" w14:textId="77777777" w:rsidR="00666FAA" w:rsidRDefault="00000000">
      <w:pPr>
        <w:pStyle w:val="Title"/>
        <w:jc w:val="center"/>
      </w:pPr>
      <w:r>
        <w:t>della</w:t>
      </w:r>
    </w:p>
    <w:p w14:paraId="00000008" w14:textId="77777777" w:rsidR="00666FAA" w:rsidRDefault="00000000">
      <w:pPr>
        <w:pStyle w:val="Title"/>
        <w:jc w:val="center"/>
      </w:pPr>
      <w:r>
        <w:t>Associazione NANA ETS</w:t>
      </w:r>
    </w:p>
    <w:p w14:paraId="00000009" w14:textId="77777777" w:rsidR="00666FAA" w:rsidRDefault="00666FAA">
      <w:pPr>
        <w:pStyle w:val="Body"/>
        <w:tabs>
          <w:tab w:val="clear" w:pos="57"/>
        </w:tabs>
        <w:jc w:val="left"/>
      </w:pPr>
    </w:p>
    <w:p w14:paraId="0000000A" w14:textId="77777777" w:rsidR="00666FAA" w:rsidRDefault="00666FAA">
      <w:pPr>
        <w:pStyle w:val="Body"/>
        <w:tabs>
          <w:tab w:val="clear" w:pos="57"/>
        </w:tabs>
        <w:jc w:val="left"/>
      </w:pPr>
    </w:p>
    <w:p w14:paraId="0000000B" w14:textId="35CFBE50" w:rsidR="00666FAA" w:rsidRDefault="00000000" w:rsidP="00715759">
      <w:pPr>
        <w:pStyle w:val="Heading3"/>
        <w:ind w:left="66" w:firstLine="0"/>
      </w:pPr>
      <w:r>
        <w:t>Oggetto</w:t>
      </w:r>
    </w:p>
    <w:p w14:paraId="0000000C" w14:textId="77777777" w:rsidR="00666FAA" w:rsidRDefault="00000000" w:rsidP="00715759">
      <w:pPr>
        <w:pStyle w:val="Body"/>
      </w:pPr>
      <w:r>
        <w:t>Il presente regolamento disciplina l'organizzazione e il funzionamento dell’Associazione, Ente del Terzo Settore, denominata NANA ETS, con sede legale in Via Giovanni da Procida 18 (Roma), di seguito anche indicata come “NANA”, ovvero “l’Associazione” o “l’ETS”.</w:t>
      </w:r>
    </w:p>
    <w:p w14:paraId="0000000E" w14:textId="1CD162AF" w:rsidR="00666FAA" w:rsidRDefault="00000000" w:rsidP="00715759">
      <w:pPr>
        <w:pStyle w:val="Body"/>
      </w:pPr>
      <w:r>
        <w:t>Con l</w:t>
      </w:r>
      <w:r>
        <w:rPr>
          <w:rtl/>
        </w:rPr>
        <w:t>’</w:t>
      </w:r>
      <w:r>
        <w:t xml:space="preserve">adozione del presente regolamento, NANA </w:t>
      </w:r>
      <w:r w:rsidR="00DA5209">
        <w:t>sceglie di avere</w:t>
      </w:r>
      <w:r>
        <w:t xml:space="preserve"> una serie di delimitazioni e controlli ispirati a tre valori specifici:</w:t>
      </w:r>
    </w:p>
    <w:p w14:paraId="0000000F" w14:textId="77777777" w:rsidR="00666FAA" w:rsidRDefault="00000000" w:rsidP="00715759">
      <w:pPr>
        <w:pStyle w:val="Body"/>
        <w:ind w:left="1555"/>
      </w:pPr>
      <w:r>
        <w:t>Etica e trasparenza.</w:t>
      </w:r>
    </w:p>
    <w:p w14:paraId="00000010" w14:textId="77777777" w:rsidR="00666FAA" w:rsidRDefault="00000000" w:rsidP="00715759">
      <w:pPr>
        <w:pStyle w:val="Body"/>
        <w:ind w:left="1555"/>
      </w:pPr>
      <w:r>
        <w:t>Professionalità.</w:t>
      </w:r>
    </w:p>
    <w:p w14:paraId="00000011" w14:textId="77777777" w:rsidR="00666FAA" w:rsidRDefault="00000000" w:rsidP="00715759">
      <w:pPr>
        <w:pStyle w:val="Body"/>
        <w:ind w:left="1555"/>
      </w:pPr>
      <w:r>
        <w:t>Partecipazione.</w:t>
      </w:r>
    </w:p>
    <w:p w14:paraId="00000012" w14:textId="5700F4D1" w:rsidR="00666FAA" w:rsidRDefault="00715759" w:rsidP="00715759">
      <w:pPr>
        <w:pStyle w:val="Body"/>
      </w:pPr>
      <w:r>
        <w:t>Al fine di garantire l</w:t>
      </w:r>
      <w:r>
        <w:rPr>
          <w:rtl/>
        </w:rPr>
        <w:t>’</w:t>
      </w:r>
      <w:r>
        <w:t xml:space="preserve">ottimale perseguimento dei suoi scopi statutari NANA aderisce a un codice etico ETS da approvare e aggiornare insieme al presente Regolamento di Organizzazione e Funzionamento (Allegato 1 - Codice Etico) </w:t>
      </w:r>
    </w:p>
    <w:p w14:paraId="00000013" w14:textId="77777777" w:rsidR="00666FAA" w:rsidRDefault="00666FAA" w:rsidP="00715759">
      <w:pPr>
        <w:pStyle w:val="Body"/>
      </w:pPr>
    </w:p>
    <w:p w14:paraId="00000014" w14:textId="5ABCDC21" w:rsidR="00666FAA" w:rsidRDefault="00000000" w:rsidP="00715759">
      <w:pPr>
        <w:pStyle w:val="Heading3"/>
        <w:ind w:firstLine="0"/>
      </w:pPr>
      <w:r>
        <w:t>Natura giuridica</w:t>
      </w:r>
    </w:p>
    <w:p w14:paraId="00000015" w14:textId="67881A05" w:rsidR="00666FAA" w:rsidRDefault="00000000" w:rsidP="00715759">
      <w:pPr>
        <w:pStyle w:val="Body"/>
      </w:pPr>
      <w:r>
        <w:t>NANA ETS è un'associazione, senza scopo di lucro</w:t>
      </w:r>
      <w:r>
        <w:rPr>
          <w:color w:val="0000BE"/>
        </w:rPr>
        <w:t xml:space="preserve"> </w:t>
      </w:r>
      <w:r>
        <w:rPr>
          <w:color w:val="2E7116" w:themeColor="accent3" w:themeShade="80"/>
        </w:rPr>
        <w:t>(art. 1 dello Statuto)</w:t>
      </w:r>
      <w:r>
        <w:t xml:space="preserve">, iscritta al Registro Unico Nazionale del Terzo </w:t>
      </w:r>
      <w:r w:rsidR="00715759">
        <w:t>S</w:t>
      </w:r>
      <w:r>
        <w:t xml:space="preserve">ettore. </w:t>
      </w:r>
    </w:p>
    <w:p w14:paraId="00000017" w14:textId="6FE6D9CE" w:rsidR="00666FAA" w:rsidRPr="00DA5209" w:rsidRDefault="00000000" w:rsidP="00715759">
      <w:pPr>
        <w:pStyle w:val="Body"/>
        <w:rPr>
          <w:color w:val="auto"/>
        </w:rPr>
      </w:pPr>
      <w:r w:rsidRPr="00DA5209">
        <w:rPr>
          <w:color w:val="auto"/>
        </w:rPr>
        <w:t>Nana non ha scopo di lucro neanche indiretto (Art 3 dello Statuto). Pertanto, l</w:t>
      </w:r>
      <w:r w:rsidRPr="00DA5209">
        <w:rPr>
          <w:color w:val="auto"/>
          <w:rtl/>
        </w:rPr>
        <w:t>’</w:t>
      </w:r>
      <w:r w:rsidRPr="00DA5209">
        <w:rPr>
          <w:color w:val="auto"/>
        </w:rPr>
        <w:t>Associazione non ha l'obiettivo di generare profitti per s</w:t>
      </w:r>
      <w:r w:rsidR="00651F12">
        <w:rPr>
          <w:color w:val="auto"/>
        </w:rPr>
        <w:t>é</w:t>
      </w:r>
      <w:r w:rsidRPr="00DA5209">
        <w:rPr>
          <w:color w:val="auto"/>
        </w:rPr>
        <w:t xml:space="preserve"> stessa e neanche per i suoi </w:t>
      </w:r>
      <w:r w:rsidR="00651F12">
        <w:rPr>
          <w:color w:val="auto"/>
        </w:rPr>
        <w:t>soci</w:t>
      </w:r>
      <w:r w:rsidRPr="00DA5209">
        <w:rPr>
          <w:color w:val="auto"/>
        </w:rPr>
        <w:t>, invece si concentra sull'erogazione di servizi e sull'esecuzione di attività che hanno un impatto positivo sulla società.</w:t>
      </w:r>
    </w:p>
    <w:p w14:paraId="00000018" w14:textId="77777777" w:rsidR="00666FAA" w:rsidRDefault="00666FAA" w:rsidP="00715759">
      <w:pPr>
        <w:pStyle w:val="Body"/>
      </w:pPr>
    </w:p>
    <w:p w14:paraId="0000001C" w14:textId="7081BAC0" w:rsidR="00666FAA" w:rsidRPr="00474DAD" w:rsidRDefault="00DA5209" w:rsidP="00715759">
      <w:pPr>
        <w:pStyle w:val="Body"/>
        <w:rPr>
          <w:color w:val="auto"/>
        </w:rPr>
      </w:pPr>
      <w:r w:rsidRPr="00474DAD">
        <w:rPr>
          <w:color w:val="auto"/>
        </w:rPr>
        <w:t>Patrimonio dell’Associazione sono le cellule di Francesca Martini</w:t>
      </w:r>
      <w:r w:rsidR="00715759" w:rsidRPr="00474DAD">
        <w:rPr>
          <w:color w:val="auto"/>
        </w:rPr>
        <w:t xml:space="preserve">, scomparsa a causa di una leucemia mieloide acuta il 9 luglio 2015. Questo materiale cellulare donato dalla famiglia è </w:t>
      </w:r>
      <w:r w:rsidRPr="00474DAD">
        <w:rPr>
          <w:color w:val="auto"/>
        </w:rPr>
        <w:t>custodit</w:t>
      </w:r>
      <w:r w:rsidR="00715759" w:rsidRPr="00474DAD">
        <w:rPr>
          <w:color w:val="auto"/>
        </w:rPr>
        <w:t>o</w:t>
      </w:r>
      <w:r w:rsidRPr="00474DAD">
        <w:rPr>
          <w:color w:val="auto"/>
        </w:rPr>
        <w:t xml:space="preserve"> </w:t>
      </w:r>
      <w:r w:rsidR="00715759" w:rsidRPr="00474DAD">
        <w:rPr>
          <w:color w:val="auto"/>
        </w:rPr>
        <w:t>in parte</w:t>
      </w:r>
      <w:r w:rsidRPr="00474DAD">
        <w:rPr>
          <w:color w:val="auto"/>
        </w:rPr>
        <w:t xml:space="preserve"> </w:t>
      </w:r>
      <w:r w:rsidR="00715759" w:rsidRPr="00474DAD">
        <w:rPr>
          <w:color w:val="auto"/>
        </w:rPr>
        <w:t>(</w:t>
      </w:r>
      <w:r w:rsidRPr="00474DAD">
        <w:rPr>
          <w:color w:val="auto"/>
        </w:rPr>
        <w:t>2 fiale di 500cc</w:t>
      </w:r>
      <w:r w:rsidR="00715759" w:rsidRPr="00474DAD">
        <w:rPr>
          <w:color w:val="auto"/>
        </w:rPr>
        <w:t>)</w:t>
      </w:r>
      <w:r w:rsidRPr="00474DAD">
        <w:rPr>
          <w:color w:val="auto"/>
        </w:rPr>
        <w:t xml:space="preserve"> nella </w:t>
      </w:r>
      <w:proofErr w:type="spellStart"/>
      <w:r w:rsidRPr="00474DAD">
        <w:rPr>
          <w:color w:val="auto"/>
        </w:rPr>
        <w:t>Bio</w:t>
      </w:r>
      <w:proofErr w:type="spellEnd"/>
      <w:r w:rsidRPr="00474DAD">
        <w:rPr>
          <w:color w:val="auto"/>
        </w:rPr>
        <w:t xml:space="preserve">-Banca istituzionale dell'IRCCS Regina Elena Istituto Nazionale Tumori di Roma e in </w:t>
      </w:r>
      <w:r w:rsidR="00715759" w:rsidRPr="00474DAD">
        <w:rPr>
          <w:color w:val="auto"/>
        </w:rPr>
        <w:t>parte (2</w:t>
      </w:r>
      <w:r w:rsidRPr="00474DAD">
        <w:rPr>
          <w:color w:val="auto"/>
        </w:rPr>
        <w:t xml:space="preserve"> fiale di 5</w:t>
      </w:r>
      <w:r w:rsidR="00715759" w:rsidRPr="00474DAD">
        <w:rPr>
          <w:color w:val="auto"/>
        </w:rPr>
        <w:t>00</w:t>
      </w:r>
      <w:r w:rsidRPr="00474DAD">
        <w:rPr>
          <w:color w:val="auto"/>
        </w:rPr>
        <w:t>cc</w:t>
      </w:r>
      <w:r w:rsidR="00715759" w:rsidRPr="00474DAD">
        <w:rPr>
          <w:color w:val="auto"/>
        </w:rPr>
        <w:t xml:space="preserve">) presso </w:t>
      </w:r>
      <w:proofErr w:type="spellStart"/>
      <w:r w:rsidR="00715759" w:rsidRPr="00474DAD">
        <w:rPr>
          <w:rFonts w:asciiTheme="minorHAnsi" w:hAnsiTheme="minorHAnsi" w:cs="Arial"/>
          <w:color w:val="auto"/>
        </w:rPr>
        <w:t>BioRep</w:t>
      </w:r>
      <w:proofErr w:type="spellEnd"/>
      <w:r w:rsidR="00715759" w:rsidRPr="00474DAD">
        <w:rPr>
          <w:rFonts w:asciiTheme="minorHAnsi" w:hAnsiTheme="minorHAnsi" w:cs="Arial"/>
          <w:color w:val="auto"/>
        </w:rPr>
        <w:t xml:space="preserve"> S.r.l.</w:t>
      </w:r>
      <w:r w:rsidR="00715759" w:rsidRPr="00474DAD">
        <w:rPr>
          <w:color w:val="auto"/>
        </w:rPr>
        <w:t xml:space="preserve"> c/o</w:t>
      </w:r>
      <w:r w:rsidRPr="00474DAD">
        <w:rPr>
          <w:color w:val="auto"/>
        </w:rPr>
        <w:t xml:space="preserve"> </w:t>
      </w:r>
      <w:r w:rsidR="00715759" w:rsidRPr="00474DAD">
        <w:rPr>
          <w:color w:val="auto"/>
        </w:rPr>
        <w:t>il DIBIT a Milano.</w:t>
      </w:r>
    </w:p>
    <w:p w14:paraId="0000001D" w14:textId="77777777" w:rsidR="00666FAA" w:rsidRPr="00474DAD" w:rsidRDefault="00666FAA" w:rsidP="00715759">
      <w:pPr>
        <w:pStyle w:val="Body"/>
        <w:rPr>
          <w:color w:val="auto"/>
        </w:rPr>
      </w:pPr>
    </w:p>
    <w:p w14:paraId="0000001E" w14:textId="77777777" w:rsidR="00666FAA" w:rsidRPr="00897B94" w:rsidRDefault="00000000" w:rsidP="00715759">
      <w:pPr>
        <w:pStyle w:val="Heading3"/>
        <w:ind w:firstLine="0"/>
        <w:rPr>
          <w:color w:val="0079BF" w:themeColor="accent1" w:themeShade="BF"/>
        </w:rPr>
      </w:pPr>
      <w:r w:rsidRPr="00897B94">
        <w:rPr>
          <w:color w:val="0079BF" w:themeColor="accent1" w:themeShade="BF"/>
        </w:rPr>
        <w:t xml:space="preserve"> Attività e loro rendicontazione</w:t>
      </w:r>
    </w:p>
    <w:p w14:paraId="0000001F" w14:textId="77777777" w:rsidR="00666FAA" w:rsidRPr="00474DAD" w:rsidRDefault="00000000" w:rsidP="00715759">
      <w:pPr>
        <w:pStyle w:val="Body"/>
        <w:rPr>
          <w:color w:val="auto"/>
        </w:rPr>
      </w:pPr>
      <w:r w:rsidRPr="00474DAD">
        <w:rPr>
          <w:color w:val="auto"/>
        </w:rPr>
        <w:t xml:space="preserve">L’articolo 4 dello Statuto di NANA ETS definisce le attività di interesse generale da esercitare per realizzare le finalità dell’Associazione. </w:t>
      </w:r>
    </w:p>
    <w:p w14:paraId="00000020" w14:textId="77777777" w:rsidR="00666FAA" w:rsidRPr="00474DAD" w:rsidRDefault="00000000" w:rsidP="00715759">
      <w:pPr>
        <w:pStyle w:val="Body"/>
        <w:rPr>
          <w:color w:val="auto"/>
        </w:rPr>
      </w:pPr>
      <w:r w:rsidRPr="00474DAD">
        <w:rPr>
          <w:color w:val="auto"/>
        </w:rPr>
        <w:t>In tale quadro di riferimento generale si evidenzia quanto segue.</w:t>
      </w:r>
    </w:p>
    <w:p w14:paraId="00000022" w14:textId="77777777" w:rsidR="00666FAA" w:rsidRDefault="00666FAA" w:rsidP="00715759">
      <w:pPr>
        <w:pStyle w:val="Body"/>
        <w:rPr>
          <w:color w:val="FF0000"/>
        </w:rPr>
      </w:pPr>
    </w:p>
    <w:p w14:paraId="00000023" w14:textId="3BE65A20" w:rsidR="00666FAA" w:rsidRPr="00897B94" w:rsidRDefault="00000000" w:rsidP="00715759">
      <w:pPr>
        <w:pStyle w:val="Body"/>
        <w:rPr>
          <w:color w:val="0079BF" w:themeColor="accent1" w:themeShade="BF"/>
        </w:rPr>
      </w:pPr>
      <w:r w:rsidRPr="00897B94">
        <w:rPr>
          <w:i/>
          <w:iCs/>
          <w:color w:val="0079BF" w:themeColor="accent1" w:themeShade="BF"/>
        </w:rPr>
        <w:t>Sede</w:t>
      </w:r>
    </w:p>
    <w:p w14:paraId="00000024" w14:textId="7CACADE8" w:rsidR="00666FAA" w:rsidRDefault="00000000" w:rsidP="00715759">
      <w:pPr>
        <w:pStyle w:val="Body"/>
      </w:pPr>
      <w:r>
        <w:t xml:space="preserve">La sede operativa dell'Associazione coincide con la sede legale ed è resa disponibile dai soci Donatella Capone e Giuseppe Martini a titolo gratuito. </w:t>
      </w:r>
    </w:p>
    <w:p w14:paraId="00000025" w14:textId="77777777" w:rsidR="00666FAA" w:rsidRDefault="00666FAA" w:rsidP="00715759">
      <w:pPr>
        <w:pStyle w:val="Body"/>
        <w:rPr>
          <w:color w:val="2E7116" w:themeColor="accent3" w:themeShade="80"/>
        </w:rPr>
      </w:pPr>
    </w:p>
    <w:p w14:paraId="00000027" w14:textId="0F1C5991" w:rsidR="00666FAA" w:rsidRPr="00897B94" w:rsidRDefault="00000000" w:rsidP="00715759">
      <w:pPr>
        <w:pStyle w:val="Body"/>
        <w:rPr>
          <w:i/>
          <w:iCs/>
          <w:color w:val="0079BF" w:themeColor="accent1" w:themeShade="BF"/>
        </w:rPr>
      </w:pPr>
      <w:r w:rsidRPr="00897B94">
        <w:rPr>
          <w:i/>
          <w:iCs/>
          <w:color w:val="0079BF" w:themeColor="accent1" w:themeShade="BF"/>
        </w:rPr>
        <w:t>Attività (art. 4 dello Statuto)</w:t>
      </w:r>
    </w:p>
    <w:p w14:paraId="00000028" w14:textId="673BC9CA" w:rsidR="00666FAA" w:rsidRPr="00897B22" w:rsidRDefault="00715759" w:rsidP="00715759">
      <w:pPr>
        <w:pStyle w:val="Body"/>
        <w:rPr>
          <w:color w:val="auto"/>
        </w:rPr>
      </w:pPr>
      <w:r w:rsidRPr="00897B22">
        <w:rPr>
          <w:color w:val="auto"/>
        </w:rPr>
        <w:t xml:space="preserve">Le attività </w:t>
      </w:r>
      <w:proofErr w:type="gramStart"/>
      <w:r w:rsidRPr="00897B22">
        <w:rPr>
          <w:color w:val="auto"/>
        </w:rPr>
        <w:t>poste in essere</w:t>
      </w:r>
      <w:proofErr w:type="gramEnd"/>
      <w:r w:rsidRPr="00897B22">
        <w:rPr>
          <w:color w:val="auto"/>
        </w:rPr>
        <w:t xml:space="preserve"> dall’Associazione sono classificate nelle seguenti </w:t>
      </w:r>
      <w:r w:rsidR="00057648">
        <w:rPr>
          <w:color w:val="auto"/>
        </w:rPr>
        <w:t>quattro</w:t>
      </w:r>
      <w:r w:rsidRPr="00897B22">
        <w:rPr>
          <w:color w:val="auto"/>
        </w:rPr>
        <w:t xml:space="preserve"> categorie:</w:t>
      </w:r>
    </w:p>
    <w:p w14:paraId="192D5194" w14:textId="77777777" w:rsidR="00897B22" w:rsidRDefault="00000000" w:rsidP="00897B22">
      <w:pPr>
        <w:pStyle w:val="Body"/>
        <w:numPr>
          <w:ilvl w:val="0"/>
          <w:numId w:val="17"/>
        </w:numPr>
        <w:tabs>
          <w:tab w:val="clear" w:pos="57"/>
          <w:tab w:val="left" w:pos="567"/>
        </w:tabs>
        <w:ind w:left="709" w:hanging="425"/>
      </w:pPr>
      <w:r>
        <w:t>Raccolta fondi a sostegno delle attività dell’Associazione</w:t>
      </w:r>
    </w:p>
    <w:p w14:paraId="0000002A" w14:textId="70D43CCC" w:rsidR="00666FAA" w:rsidRDefault="00000000" w:rsidP="00897B22">
      <w:pPr>
        <w:pStyle w:val="Body"/>
        <w:numPr>
          <w:ilvl w:val="0"/>
          <w:numId w:val="17"/>
        </w:numPr>
        <w:tabs>
          <w:tab w:val="clear" w:pos="57"/>
          <w:tab w:val="left" w:pos="567"/>
        </w:tabs>
        <w:ind w:left="709" w:hanging="425"/>
      </w:pPr>
      <w:r>
        <w:t>Formazione in campo musicale</w:t>
      </w:r>
    </w:p>
    <w:p w14:paraId="0000002B" w14:textId="77777777" w:rsidR="00666FAA" w:rsidRDefault="00000000" w:rsidP="00897B22">
      <w:pPr>
        <w:pStyle w:val="Body"/>
        <w:numPr>
          <w:ilvl w:val="0"/>
          <w:numId w:val="17"/>
        </w:numPr>
        <w:tabs>
          <w:tab w:val="clear" w:pos="57"/>
          <w:tab w:val="left" w:pos="567"/>
        </w:tabs>
        <w:ind w:left="709" w:hanging="425"/>
      </w:pPr>
      <w:r>
        <w:t>Supporto alla ricerca scientifica (premi, borse di studio, finanziamento di costi ricerca etc.), con particolare riguardo alle leucemie</w:t>
      </w:r>
    </w:p>
    <w:p w14:paraId="0000002C" w14:textId="77777777" w:rsidR="00666FAA" w:rsidRDefault="00000000" w:rsidP="00897B22">
      <w:pPr>
        <w:pStyle w:val="Body"/>
        <w:numPr>
          <w:ilvl w:val="0"/>
          <w:numId w:val="17"/>
        </w:numPr>
        <w:tabs>
          <w:tab w:val="clear" w:pos="57"/>
          <w:tab w:val="left" w:pos="567"/>
        </w:tabs>
        <w:ind w:left="709" w:hanging="425"/>
      </w:pPr>
      <w:r>
        <w:t>Gestione dell’Associazione</w:t>
      </w:r>
    </w:p>
    <w:p w14:paraId="0000002F" w14:textId="1759DDE2" w:rsidR="00666FAA" w:rsidRDefault="00000000" w:rsidP="00715759">
      <w:pPr>
        <w:pStyle w:val="Body"/>
      </w:pPr>
      <w:r>
        <w:t xml:space="preserve">A tali categorie va fatto riferimento nelle comunicazioni a soci e stakeholders, facendo quanto più possibile chiarezza sul collegamento fra le attività </w:t>
      </w:r>
      <w:proofErr w:type="gramStart"/>
      <w:r>
        <w:t>poste in essere</w:t>
      </w:r>
      <w:proofErr w:type="gramEnd"/>
      <w:r>
        <w:t xml:space="preserve"> e le singole raccolte di fondi</w:t>
      </w:r>
      <w:r w:rsidR="00057648">
        <w:rPr>
          <w:color w:val="FF0000"/>
        </w:rPr>
        <w:t>.</w:t>
      </w:r>
    </w:p>
    <w:p w14:paraId="00000030" w14:textId="77777777" w:rsidR="00666FAA" w:rsidRDefault="00666FAA" w:rsidP="00715759">
      <w:pPr>
        <w:pStyle w:val="Body"/>
      </w:pPr>
    </w:p>
    <w:p w14:paraId="00000031" w14:textId="77777777" w:rsidR="00666FAA" w:rsidRDefault="00000000" w:rsidP="00715759">
      <w:pPr>
        <w:pStyle w:val="Heading3"/>
        <w:ind w:firstLine="0"/>
      </w:pPr>
      <w:r>
        <w:t xml:space="preserve"> Soci </w:t>
      </w:r>
      <w:r>
        <w:rPr>
          <w:color w:val="2E7116" w:themeColor="accent3" w:themeShade="80"/>
        </w:rPr>
        <w:t>(art. 5 dello Statuto)</w:t>
      </w:r>
    </w:p>
    <w:p w14:paraId="00000033" w14:textId="77777777" w:rsidR="00666FAA" w:rsidRDefault="00000000" w:rsidP="00715759">
      <w:pPr>
        <w:pStyle w:val="Body"/>
      </w:pPr>
      <w:r>
        <w:t xml:space="preserve">Lo </w:t>
      </w:r>
      <w:r w:rsidRPr="00651F12">
        <w:rPr>
          <w:color w:val="auto"/>
        </w:rPr>
        <w:t xml:space="preserve">Statuto (Art. 5) </w:t>
      </w:r>
      <w:r>
        <w:t>suddivide i soci nelle seguenti quattro categorie e ne definisce le prerogative quali l’eligibilità alle cariche istituzionali e le condizioni di acquisizione/perdita del titolo di socio:</w:t>
      </w:r>
    </w:p>
    <w:p w14:paraId="00000034" w14:textId="77777777" w:rsidR="00666FAA" w:rsidRDefault="00000000" w:rsidP="00715759">
      <w:pPr>
        <w:pStyle w:val="Body"/>
        <w:ind w:left="1555"/>
      </w:pPr>
      <w:r>
        <w:t>Soci Fondatori</w:t>
      </w:r>
    </w:p>
    <w:p w14:paraId="00000035" w14:textId="77777777" w:rsidR="00666FAA" w:rsidRDefault="00000000" w:rsidP="00715759">
      <w:pPr>
        <w:pStyle w:val="Body"/>
        <w:ind w:left="1555"/>
      </w:pPr>
      <w:r>
        <w:t>Soci Ordinari</w:t>
      </w:r>
    </w:p>
    <w:p w14:paraId="00000036" w14:textId="77777777" w:rsidR="00666FAA" w:rsidRDefault="00000000" w:rsidP="00715759">
      <w:pPr>
        <w:pStyle w:val="Body"/>
        <w:ind w:left="1555"/>
      </w:pPr>
      <w:r>
        <w:t>Soci Sostenitori</w:t>
      </w:r>
    </w:p>
    <w:p w14:paraId="00000037" w14:textId="77777777" w:rsidR="00666FAA" w:rsidRDefault="00000000" w:rsidP="00715759">
      <w:pPr>
        <w:pStyle w:val="Body"/>
        <w:ind w:left="1555"/>
      </w:pPr>
      <w:r>
        <w:t>Soci Onorari</w:t>
      </w:r>
    </w:p>
    <w:p w14:paraId="00000038" w14:textId="77777777" w:rsidR="00666FAA" w:rsidRDefault="00000000" w:rsidP="00715759">
      <w:pPr>
        <w:pStyle w:val="Body"/>
      </w:pPr>
      <w:r>
        <w:t xml:space="preserve">L’elenco dei soci è aggiornato dalla Presidenza e comunicato al Consiglio Direttivo e all’Assemblea. </w:t>
      </w:r>
    </w:p>
    <w:p w14:paraId="00000039" w14:textId="77777777" w:rsidR="00666FAA" w:rsidRDefault="00666FAA" w:rsidP="00715759">
      <w:pPr>
        <w:pStyle w:val="Body"/>
      </w:pPr>
    </w:p>
    <w:p w14:paraId="0000003A" w14:textId="77777777" w:rsidR="00666FAA" w:rsidRDefault="00000000" w:rsidP="00715759">
      <w:pPr>
        <w:pStyle w:val="Heading3"/>
        <w:ind w:firstLine="0"/>
      </w:pPr>
      <w:r>
        <w:t xml:space="preserve"> Organi Sociali </w:t>
      </w:r>
      <w:r>
        <w:rPr>
          <w:color w:val="2E7116" w:themeColor="accent3" w:themeShade="80"/>
        </w:rPr>
        <w:t>(art. 8 dello Statuto)</w:t>
      </w:r>
    </w:p>
    <w:p w14:paraId="0000003B" w14:textId="77777777" w:rsidR="00666FAA" w:rsidRDefault="00000000" w:rsidP="00715759">
      <w:pPr>
        <w:pStyle w:val="Body"/>
      </w:pPr>
      <w:r>
        <w:t xml:space="preserve">Sono organi dell’Associazione </w:t>
      </w:r>
      <w:r w:rsidRPr="00651F12">
        <w:rPr>
          <w:color w:val="auto"/>
        </w:rPr>
        <w:t>(Art. 8 dello Statuto):</w:t>
      </w:r>
    </w:p>
    <w:p w14:paraId="0000003C" w14:textId="77777777" w:rsidR="00666FAA" w:rsidRDefault="00000000" w:rsidP="00715759">
      <w:pPr>
        <w:pStyle w:val="Body"/>
        <w:ind w:left="1555"/>
      </w:pPr>
      <w:r>
        <w:t>L'Assemblea;</w:t>
      </w:r>
    </w:p>
    <w:p w14:paraId="0000003D" w14:textId="77777777" w:rsidR="00666FAA" w:rsidRDefault="00000000" w:rsidP="00715759">
      <w:pPr>
        <w:pStyle w:val="Body"/>
        <w:ind w:left="1555"/>
      </w:pPr>
      <w:r>
        <w:t>Il Consiglio Direttivo;</w:t>
      </w:r>
    </w:p>
    <w:p w14:paraId="0000003E" w14:textId="77777777" w:rsidR="00666FAA" w:rsidRDefault="00000000" w:rsidP="00715759">
      <w:pPr>
        <w:pStyle w:val="Body"/>
        <w:ind w:left="1555"/>
      </w:pPr>
      <w:r>
        <w:t>Il Presidente;</w:t>
      </w:r>
    </w:p>
    <w:p w14:paraId="0000003F" w14:textId="77777777" w:rsidR="00666FAA" w:rsidRDefault="00000000" w:rsidP="00715759">
      <w:pPr>
        <w:pStyle w:val="Body"/>
        <w:ind w:left="1555"/>
      </w:pPr>
      <w:r>
        <w:t>ll Presidente Onorario se nominato;</w:t>
      </w:r>
    </w:p>
    <w:p w14:paraId="00000040" w14:textId="77777777" w:rsidR="00666FAA" w:rsidRDefault="00000000" w:rsidP="00715759">
      <w:pPr>
        <w:pStyle w:val="Body"/>
        <w:ind w:left="1555"/>
      </w:pPr>
      <w:r>
        <w:t>I Revisori dei conti se nominati.</w:t>
      </w:r>
    </w:p>
    <w:p w14:paraId="00000041" w14:textId="78CC0916" w:rsidR="00666FAA" w:rsidRPr="00651F12" w:rsidRDefault="00000000" w:rsidP="00715759">
      <w:pPr>
        <w:pStyle w:val="Body"/>
        <w:rPr>
          <w:color w:val="auto"/>
        </w:rPr>
      </w:pPr>
      <w:r w:rsidRPr="00651F12">
        <w:rPr>
          <w:color w:val="auto"/>
        </w:rPr>
        <w:t>Tutte le cariche associative hanno durata di 3 (tre) anni.</w:t>
      </w:r>
      <w:r w:rsidR="00897B22" w:rsidRPr="00651F12">
        <w:rPr>
          <w:color w:val="auto"/>
        </w:rPr>
        <w:t xml:space="preserve"> </w:t>
      </w:r>
    </w:p>
    <w:p w14:paraId="00000042" w14:textId="77777777" w:rsidR="00666FAA" w:rsidRPr="00651F12" w:rsidRDefault="00000000" w:rsidP="00715759">
      <w:pPr>
        <w:pStyle w:val="Body"/>
        <w:rPr>
          <w:color w:val="auto"/>
        </w:rPr>
      </w:pPr>
      <w:r w:rsidRPr="00651F12">
        <w:rPr>
          <w:color w:val="auto"/>
        </w:rPr>
        <w:t>I compiti, le modalità di convocazione, di valida riunione, e verbalizzazione, nonché la procedura da attuare in caso di decadenza di un membro del Consiglio Direttivo prima della sua scadenza naturale sono definiti dagli articoli 9-13 dello Statuto.</w:t>
      </w:r>
    </w:p>
    <w:p w14:paraId="4867F7E7" w14:textId="77777777" w:rsidR="00057648" w:rsidRDefault="00057648" w:rsidP="00715759">
      <w:pPr>
        <w:pStyle w:val="Body"/>
        <w:rPr>
          <w:color w:val="FF0000"/>
        </w:rPr>
      </w:pPr>
    </w:p>
    <w:p w14:paraId="00000048" w14:textId="70FC81E0" w:rsidR="00666FAA" w:rsidRDefault="00000000" w:rsidP="00715759">
      <w:pPr>
        <w:pStyle w:val="Heading3"/>
        <w:ind w:firstLine="0"/>
      </w:pPr>
      <w:r>
        <w:t xml:space="preserve">Riunioni del Consiglio direttivo </w:t>
      </w:r>
    </w:p>
    <w:p w14:paraId="00000049" w14:textId="22929EEB" w:rsidR="00666FAA" w:rsidRDefault="00000000" w:rsidP="00715759">
      <w:pPr>
        <w:pStyle w:val="Body"/>
        <w:tabs>
          <w:tab w:val="clear" w:pos="57"/>
          <w:tab w:val="left" w:pos="283"/>
          <w:tab w:val="left" w:pos="283"/>
        </w:tabs>
      </w:pPr>
      <w:r>
        <w:t xml:space="preserve">Il Consiglio direttivo di NANA ETS si riunisce almeno due volte l’anno, e una volta </w:t>
      </w:r>
      <w:r w:rsidR="00057648">
        <w:t xml:space="preserve">almeno </w:t>
      </w:r>
      <w:r>
        <w:t xml:space="preserve">30 gg prima dell’Assemblea </w:t>
      </w:r>
      <w:r w:rsidR="00897B22">
        <w:t>annuale</w:t>
      </w:r>
      <w:r>
        <w:t xml:space="preserve">.  </w:t>
      </w:r>
    </w:p>
    <w:p w14:paraId="0000004A" w14:textId="60378DEE" w:rsidR="00666FAA" w:rsidRPr="00057648" w:rsidRDefault="00000000" w:rsidP="00715759">
      <w:pPr>
        <w:pStyle w:val="Body"/>
        <w:tabs>
          <w:tab w:val="clear" w:pos="57"/>
          <w:tab w:val="left" w:pos="283"/>
          <w:tab w:val="left" w:pos="283"/>
        </w:tabs>
        <w:rPr>
          <w:color w:val="auto"/>
        </w:rPr>
      </w:pPr>
      <w:r w:rsidRPr="00057648">
        <w:rPr>
          <w:color w:val="auto"/>
        </w:rPr>
        <w:t xml:space="preserve">Il Consiglio </w:t>
      </w:r>
      <w:r w:rsidR="00057648">
        <w:rPr>
          <w:color w:val="auto"/>
        </w:rPr>
        <w:t>d</w:t>
      </w:r>
      <w:r w:rsidRPr="00057648">
        <w:rPr>
          <w:color w:val="auto"/>
        </w:rPr>
        <w:t>irettivo può riunirsi in presenza, online o in modalità mista.</w:t>
      </w:r>
    </w:p>
    <w:p w14:paraId="0000004B" w14:textId="45FDB22D" w:rsidR="00666FAA" w:rsidRDefault="00897B22" w:rsidP="00715759">
      <w:pPr>
        <w:pStyle w:val="Body"/>
      </w:pPr>
      <w:r>
        <w:t>Inoltre, possono essere organizzate riunioni su argomenti specifici, per discutere di tematiche che richiedono una valutazione urgente.</w:t>
      </w:r>
    </w:p>
    <w:p w14:paraId="0000004C" w14:textId="77777777" w:rsidR="00666FAA" w:rsidRDefault="00000000" w:rsidP="00715759">
      <w:pPr>
        <w:pStyle w:val="Body"/>
      </w:pPr>
      <w:r>
        <w:t>Il Consiglio direttivo lavora per consenso. Quando sono necessarie delle votazioni, queste vengono decise a maggioranza semplice; in caso di parità, il Presidente esprime il voto decisivo.</w:t>
      </w:r>
    </w:p>
    <w:p w14:paraId="0000004D" w14:textId="6D2DEC16" w:rsidR="00666FAA" w:rsidRDefault="00000000" w:rsidP="00715759">
      <w:pPr>
        <w:pStyle w:val="Body"/>
      </w:pPr>
      <w:r>
        <w:t>Il Consiglio direttivo riceve un avviso di convocazione delle riunioni con almeno 1</w:t>
      </w:r>
      <w:r w:rsidR="00897B22">
        <w:t>0</w:t>
      </w:r>
      <w:r>
        <w:t xml:space="preserve"> gg. di anticipo e la bozza dell'ordine del giorno, corredata da eventuali documenti, con </w:t>
      </w:r>
      <w:r w:rsidR="00057648">
        <w:t xml:space="preserve">almeno </w:t>
      </w:r>
      <w:r>
        <w:t>5 giorni di anticipo.</w:t>
      </w:r>
    </w:p>
    <w:p w14:paraId="0000004E" w14:textId="59268B82" w:rsidR="00666FAA" w:rsidRDefault="00000000" w:rsidP="00715759">
      <w:pPr>
        <w:pStyle w:val="Body"/>
      </w:pPr>
      <w:r>
        <w:t xml:space="preserve">Tutti gli ordini del giorno, i verbali e i documenti sono a disposizione dei </w:t>
      </w:r>
      <w:r w:rsidR="00057648">
        <w:t xml:space="preserve">soci fondatori e ordinari </w:t>
      </w:r>
      <w:r>
        <w:t>in modo completo e permanente.</w:t>
      </w:r>
    </w:p>
    <w:p w14:paraId="6EC027AB" w14:textId="77777777" w:rsidR="00897B22" w:rsidRDefault="00897B22" w:rsidP="00715759">
      <w:pPr>
        <w:pStyle w:val="Body"/>
      </w:pPr>
    </w:p>
    <w:p w14:paraId="0000005F" w14:textId="2DA64A43" w:rsidR="00666FAA" w:rsidRDefault="00000000" w:rsidP="00715759">
      <w:pPr>
        <w:pStyle w:val="Heading3"/>
        <w:ind w:firstLine="0"/>
        <w:rPr>
          <w:color w:val="000000"/>
        </w:rPr>
      </w:pPr>
      <w:proofErr w:type="spellStart"/>
      <w:r>
        <w:rPr>
          <w:color w:val="0000FF"/>
          <w:lang w:val="fr-FR"/>
        </w:rPr>
        <w:t>Entit</w:t>
      </w:r>
      <w:proofErr w:type="spellEnd"/>
      <w:r>
        <w:rPr>
          <w:color w:val="0000FF"/>
        </w:rPr>
        <w:t>à Operativa - Tesoriere</w:t>
      </w:r>
    </w:p>
    <w:p w14:paraId="00000060" w14:textId="4AA262DC" w:rsidR="00666FAA" w:rsidRDefault="00000000" w:rsidP="00715759">
      <w:pPr>
        <w:pStyle w:val="Body"/>
      </w:pPr>
      <w:r>
        <w:t>Finchè non saranno raggiunti i requisiti dimensionali che comportino l’obbligo della nomina di uno o più Revisori dei Conti, scelti tra persone esterne all'Associazione e iscritti nel Registro dei Revisori Contabili, può essere designato un socio con funzioni di Tesoriere che viene nominato dall</w:t>
      </w:r>
      <w:r>
        <w:rPr>
          <w:rtl/>
        </w:rPr>
        <w:t>’</w:t>
      </w:r>
      <w:r>
        <w:t>Assemblea dei Soci su proposta del Consiglio Direttivo.</w:t>
      </w:r>
    </w:p>
    <w:p w14:paraId="00000061" w14:textId="77777777" w:rsidR="00666FAA" w:rsidRDefault="00000000" w:rsidP="00715759">
      <w:pPr>
        <w:pStyle w:val="Body"/>
      </w:pPr>
      <w:r>
        <w:t>Il Tesoriere:</w:t>
      </w:r>
    </w:p>
    <w:p w14:paraId="00000062" w14:textId="52949F7D" w:rsidR="00666FAA" w:rsidRDefault="00000000" w:rsidP="00897B22">
      <w:pPr>
        <w:pStyle w:val="Body"/>
        <w:ind w:left="426"/>
      </w:pPr>
      <w:r>
        <w:t xml:space="preserve">Tiene e/o sovraintende alla tenuta della contabilità </w:t>
      </w:r>
      <w:proofErr w:type="spellStart"/>
      <w:r>
        <w:t>dell</w:t>
      </w:r>
      <w:proofErr w:type="spellEnd"/>
      <w:r>
        <w:rPr>
          <w:rtl/>
        </w:rPr>
        <w:t>’</w:t>
      </w:r>
      <w:r>
        <w:t>Associazione</w:t>
      </w:r>
      <w:r w:rsidR="00A901F6">
        <w:t>.</w:t>
      </w:r>
    </w:p>
    <w:p w14:paraId="00000063" w14:textId="74A0CDBE" w:rsidR="00666FAA" w:rsidRDefault="00000000" w:rsidP="00897B22">
      <w:pPr>
        <w:pStyle w:val="Body"/>
        <w:ind w:left="426"/>
      </w:pPr>
      <w:r>
        <w:t>Vigila sulla conformità della gestione dell</w:t>
      </w:r>
      <w:r>
        <w:rPr>
          <w:rtl/>
        </w:rPr>
        <w:t>’</w:t>
      </w:r>
      <w:r>
        <w:t>Associazione alle direttive dell</w:t>
      </w:r>
      <w:r>
        <w:rPr>
          <w:rtl/>
        </w:rPr>
        <w:t>’</w:t>
      </w:r>
      <w:r>
        <w:t xml:space="preserve">Assemblea e del Consiglio </w:t>
      </w:r>
      <w:r w:rsidR="00A901F6">
        <w:t>d</w:t>
      </w:r>
      <w:r>
        <w:t>irettivo</w:t>
      </w:r>
      <w:r w:rsidR="00A901F6">
        <w:t>.</w:t>
      </w:r>
    </w:p>
    <w:p w14:paraId="00000064" w14:textId="15AD6883" w:rsidR="00666FAA" w:rsidRDefault="00000000" w:rsidP="00897B22">
      <w:pPr>
        <w:pStyle w:val="Body"/>
        <w:ind w:left="426"/>
      </w:pPr>
      <w:r>
        <w:t>Compila, anche avvalendosi di professionisti esterni all</w:t>
      </w:r>
      <w:r>
        <w:rPr>
          <w:rtl/>
        </w:rPr>
        <w:t>’</w:t>
      </w:r>
      <w:r>
        <w:t xml:space="preserve">Associazione, il </w:t>
      </w:r>
      <w:r w:rsidR="00A901F6">
        <w:t>bilancio annuale</w:t>
      </w:r>
      <w:r>
        <w:t>, il bilancio previsionale e i documenti collegati richiesti dalle normative vigenti</w:t>
      </w:r>
      <w:r w:rsidR="00897B22">
        <w:t>.</w:t>
      </w:r>
    </w:p>
    <w:p w14:paraId="00000065" w14:textId="388F1C78" w:rsidR="00666FAA" w:rsidRDefault="00000000" w:rsidP="00897B22">
      <w:pPr>
        <w:pStyle w:val="Body"/>
        <w:ind w:left="426"/>
      </w:pPr>
      <w:r>
        <w:t>Invia la bozza dei documenti di cui sopra al Presidente affinché siano sottoposti all</w:t>
      </w:r>
      <w:r>
        <w:rPr>
          <w:rtl/>
        </w:rPr>
        <w:t>’</w:t>
      </w:r>
      <w:r>
        <w:t>approvazione del Consiglio Direttivo</w:t>
      </w:r>
      <w:r w:rsidR="00A901F6">
        <w:t>.</w:t>
      </w:r>
    </w:p>
    <w:p w14:paraId="00000066" w14:textId="6543E7E1" w:rsidR="00666FAA" w:rsidRDefault="00000000" w:rsidP="00897B22">
      <w:pPr>
        <w:pStyle w:val="Body"/>
        <w:ind w:left="426"/>
      </w:pPr>
      <w:r>
        <w:t>Presenta i documenti licenziati dal Consiglio Direttivo e li sottopone al voto dell</w:t>
      </w:r>
      <w:r>
        <w:rPr>
          <w:rtl/>
        </w:rPr>
        <w:t>’</w:t>
      </w:r>
      <w:r>
        <w:t>Assemblea dei Soci</w:t>
      </w:r>
      <w:r w:rsidR="00A901F6">
        <w:t>.</w:t>
      </w:r>
    </w:p>
    <w:p w14:paraId="00000067" w14:textId="79239D18" w:rsidR="00666FAA" w:rsidRDefault="00000000" w:rsidP="00897B22">
      <w:pPr>
        <w:pStyle w:val="Body"/>
        <w:ind w:left="426"/>
      </w:pPr>
      <w:r>
        <w:t>Se non ne fa parte, può partecipare alle riunioni del Consiglio Direttivo</w:t>
      </w:r>
      <w:r w:rsidR="00A901F6">
        <w:t>.</w:t>
      </w:r>
    </w:p>
    <w:p w14:paraId="00000069" w14:textId="77777777" w:rsidR="00666FAA" w:rsidRDefault="00666FAA" w:rsidP="00715759">
      <w:pPr>
        <w:pStyle w:val="Body"/>
      </w:pPr>
    </w:p>
    <w:p w14:paraId="0000006A" w14:textId="36D5CA96" w:rsidR="00666FAA" w:rsidRDefault="00000000" w:rsidP="00715759">
      <w:pPr>
        <w:pStyle w:val="Heading3"/>
        <w:ind w:firstLine="0"/>
      </w:pPr>
      <w:r>
        <w:t>Entità Operativa - Gruppi di Lavoro</w:t>
      </w:r>
    </w:p>
    <w:p w14:paraId="0000006B" w14:textId="77777777" w:rsidR="00666FAA" w:rsidRDefault="00000000" w:rsidP="00715759">
      <w:pPr>
        <w:pStyle w:val="Body"/>
      </w:pPr>
      <w:r>
        <w:t>Il Presidente può decidere l’istituzione di gruppi di lavoro temporanei dedicati allo svolgimento di ben determinate attività quali lo studio e la proposizione di documenti da sottoporre all’approvazione degli Organi Sociali o la selezione di vincitori di premi e borse di studio dell’Associazione.</w:t>
      </w:r>
    </w:p>
    <w:p w14:paraId="0000006C" w14:textId="77777777" w:rsidR="00666FAA" w:rsidRDefault="00000000" w:rsidP="00715759">
      <w:pPr>
        <w:pStyle w:val="Body"/>
      </w:pPr>
      <w:r>
        <w:t>La partecipazione a tali gruppi di lavoro avviene a titolo gratuito, fatta salva la possibilità della copertura di spese vive da parte di NANA ETS.</w:t>
      </w:r>
    </w:p>
    <w:p w14:paraId="0000006D" w14:textId="77777777" w:rsidR="00666FAA" w:rsidRDefault="00666FAA" w:rsidP="00715759">
      <w:pPr>
        <w:pStyle w:val="Body"/>
      </w:pPr>
    </w:p>
    <w:p w14:paraId="0000006E" w14:textId="2B16270A" w:rsidR="00666FAA" w:rsidRDefault="00000000" w:rsidP="00715759">
      <w:pPr>
        <w:pStyle w:val="Heading3"/>
        <w:ind w:firstLine="0"/>
      </w:pPr>
      <w:r>
        <w:t>Entità Operativa - Consiglio Scientifico</w:t>
      </w:r>
    </w:p>
    <w:p w14:paraId="0000006F" w14:textId="3FABDDE4" w:rsidR="00666FAA" w:rsidRDefault="00000000" w:rsidP="00715759">
      <w:pPr>
        <w:pStyle w:val="Body"/>
      </w:pPr>
      <w:r>
        <w:t xml:space="preserve">Nell’espletamento di attività di supporto alla ricerca scientifica di cui al precedente articolo 4 l’Associazione può decidere la costituzione di un Consiglio Scientifico costituito da un minimo di tre e </w:t>
      </w:r>
      <w:r w:rsidR="006D256B">
        <w:t xml:space="preserve">un </w:t>
      </w:r>
      <w:r>
        <w:t xml:space="preserve">massimo </w:t>
      </w:r>
      <w:r w:rsidR="006D256B">
        <w:t xml:space="preserve">di </w:t>
      </w:r>
      <w:r>
        <w:t>cinque personalità esterne all’Associazione e di alto rilievo scientifico in settori di ricerca di interesse per l’Associazione quali la Genetica e la Biologia Molecolare con particolare riferimento al campo dei tumori, segnatamente alle leucemie e alle malattie rare.</w:t>
      </w:r>
    </w:p>
    <w:p w14:paraId="00000070" w14:textId="77777777" w:rsidR="00666FAA" w:rsidRDefault="00000000" w:rsidP="00715759">
      <w:pPr>
        <w:pStyle w:val="Body"/>
      </w:pPr>
      <w:r>
        <w:t xml:space="preserve">Il Consiglio Scientifico e il suo Presidente vengono nominati dall’Assemblea dell’Associazione su proposta del Presidente di NANA ETS. </w:t>
      </w:r>
    </w:p>
    <w:p w14:paraId="00000071" w14:textId="02C3A33E" w:rsidR="00666FAA" w:rsidRDefault="00000000" w:rsidP="00715759">
      <w:pPr>
        <w:pStyle w:val="Body"/>
      </w:pPr>
      <w:r>
        <w:t>Compito del Consiglio Scientifico è quello di valutare e fornire all</w:t>
      </w:r>
      <w:r>
        <w:rPr>
          <w:rtl/>
        </w:rPr>
        <w:t>’</w:t>
      </w:r>
      <w:r>
        <w:t xml:space="preserve">Associazione attraverso il suo Presidente, indicazioni strategiche non vincolanti sull’andamento generale delle attività passate, presenti e future dell’Associazione in relazione alla terza categoria di cui </w:t>
      </w:r>
      <w:r w:rsidRPr="00A75FA8">
        <w:rPr>
          <w:color w:val="00B050"/>
        </w:rPr>
        <w:t>all’Articolo 4</w:t>
      </w:r>
      <w:r w:rsidR="00A75FA8">
        <w:t xml:space="preserve"> </w:t>
      </w:r>
      <w:r>
        <w:t>del presente regolamento.</w:t>
      </w:r>
    </w:p>
    <w:p w14:paraId="00000072" w14:textId="77777777" w:rsidR="00666FAA" w:rsidRDefault="00000000" w:rsidP="00715759">
      <w:pPr>
        <w:pStyle w:val="Body"/>
      </w:pPr>
      <w:r>
        <w:t>Il Consiglio Scientifico si riunisce almeno una volta l’anno e tutte le volte che il Presidente dello stesso CS lo ritiene opportuno per motivi legati alla politica scientifica di NANA.</w:t>
      </w:r>
    </w:p>
    <w:p w14:paraId="00000073" w14:textId="77777777" w:rsidR="00666FAA" w:rsidRDefault="00000000" w:rsidP="00715759">
      <w:pPr>
        <w:pStyle w:val="Body"/>
      </w:pPr>
      <w:r>
        <w:t>Le convocazioni e le riunioni del Consiglio Scientifico possono aver luogo per via telematica.</w:t>
      </w:r>
    </w:p>
    <w:p w14:paraId="00000074" w14:textId="1C71BFC4" w:rsidR="00666FAA" w:rsidRDefault="00000000" w:rsidP="00715759">
      <w:pPr>
        <w:pStyle w:val="Body"/>
      </w:pPr>
      <w:r>
        <w:t xml:space="preserve">La partecipazione al Consiglio di NANA ETS avviene a titolo gratuito, fatta salva la possibilità della copertura di spese vive eventualmente sotto forma di gettone di presenza la cui moderata entità viene decisa dal Consiglio </w:t>
      </w:r>
      <w:r w:rsidR="00A75FA8">
        <w:t>d</w:t>
      </w:r>
      <w:r>
        <w:t>irettivo di NANA ETS.</w:t>
      </w:r>
    </w:p>
    <w:p w14:paraId="00000075" w14:textId="77777777" w:rsidR="00666FAA" w:rsidRDefault="00666FAA" w:rsidP="00715759">
      <w:pPr>
        <w:pStyle w:val="Body"/>
      </w:pPr>
    </w:p>
    <w:p w14:paraId="00000076" w14:textId="265A433D" w:rsidR="00666FAA" w:rsidRDefault="00000000" w:rsidP="00715759">
      <w:pPr>
        <w:pStyle w:val="Heading3"/>
        <w:ind w:firstLine="0"/>
        <w:rPr>
          <w:color w:val="FF0000"/>
        </w:rPr>
      </w:pPr>
      <w:r>
        <w:t xml:space="preserve">12. Rimborso spese. </w:t>
      </w:r>
    </w:p>
    <w:p w14:paraId="00000077" w14:textId="622655BB" w:rsidR="00666FAA" w:rsidRPr="00A75FA8" w:rsidRDefault="00A75FA8" w:rsidP="00715759">
      <w:pPr>
        <w:pStyle w:val="Body"/>
        <w:rPr>
          <w:color w:val="auto"/>
        </w:rPr>
      </w:pPr>
      <w:r>
        <w:rPr>
          <w:color w:val="auto"/>
        </w:rPr>
        <w:t xml:space="preserve">I soci possono richiedere un rimborso delle spese sostenute nello svolgimento di attività collegate al buon funzionamento dell’associazione. Queste spese potranno essere rimborsate se autorizzate dal </w:t>
      </w:r>
      <w:r w:rsidRPr="00A75FA8">
        <w:rPr>
          <w:color w:val="auto"/>
        </w:rPr>
        <w:t>Presidente e provviste documento di spesa ad es. biglietti, fatture, ricevute, scontrini e qualunque altro documento che attesti chiaramente l’oggetto, l’importo e la data.</w:t>
      </w:r>
    </w:p>
    <w:p w14:paraId="00000078" w14:textId="73B3E2A3" w:rsidR="00666FAA" w:rsidRDefault="00000000" w:rsidP="00715759">
      <w:pPr>
        <w:pStyle w:val="Body"/>
        <w:rPr>
          <w:color w:val="FF0000"/>
        </w:rPr>
      </w:pPr>
      <w:r>
        <w:rPr>
          <w:color w:val="auto"/>
        </w:rPr>
        <w:t xml:space="preserve">Per incarichi di particolare rilevanza è possibile, su decisione del Consiglio Direttivo, allocare un budget specifico al quale attingere. </w:t>
      </w:r>
    </w:p>
    <w:p w14:paraId="0000007A" w14:textId="77777777" w:rsidR="00666FAA" w:rsidRPr="00A75FA8" w:rsidRDefault="00000000" w:rsidP="00715759">
      <w:pPr>
        <w:pStyle w:val="Body"/>
        <w:rPr>
          <w:color w:val="auto"/>
        </w:rPr>
      </w:pPr>
      <w:r w:rsidRPr="00A75FA8">
        <w:rPr>
          <w:color w:val="auto"/>
        </w:rPr>
        <w:t>La richiesta di rimborso spese deve essere presentata al Tesoriere compilando l’apposito modulo e allegando la documentazione necessaria.</w:t>
      </w:r>
    </w:p>
    <w:p w14:paraId="0000007B" w14:textId="77777777" w:rsidR="00666FAA" w:rsidRDefault="00666FAA" w:rsidP="00715759">
      <w:pPr>
        <w:pStyle w:val="Body"/>
        <w:rPr>
          <w:color w:val="auto"/>
        </w:rPr>
      </w:pPr>
    </w:p>
    <w:p w14:paraId="0000007C" w14:textId="77777777" w:rsidR="00666FAA" w:rsidRDefault="00000000" w:rsidP="00715759">
      <w:pPr>
        <w:pStyle w:val="Heading3"/>
        <w:ind w:firstLine="0"/>
      </w:pPr>
      <w:r>
        <w:t xml:space="preserve">13. Disposizioni finali </w:t>
      </w:r>
    </w:p>
    <w:p w14:paraId="0000007D" w14:textId="570A8325" w:rsidR="00666FAA" w:rsidRDefault="00000000" w:rsidP="00715759">
      <w:pPr>
        <w:pStyle w:val="Body"/>
      </w:pPr>
      <w:r>
        <w:t>Per quanto non previsto dallo Statuto e dal presente Regolamento, si applicano le disposizioni del codice del terzo settore.</w:t>
      </w:r>
    </w:p>
    <w:p w14:paraId="0000007E" w14:textId="77777777" w:rsidR="00666FAA" w:rsidRDefault="00666FAA" w:rsidP="00715759">
      <w:pPr>
        <w:pStyle w:val="Body"/>
      </w:pPr>
    </w:p>
    <w:p w14:paraId="0000007F" w14:textId="77777777" w:rsidR="00666FAA" w:rsidRDefault="00000000" w:rsidP="00715759">
      <w:pPr>
        <w:pStyle w:val="Heading3"/>
        <w:ind w:firstLine="0"/>
      </w:pPr>
      <w:r>
        <w:t>14. Approvazione</w:t>
      </w:r>
    </w:p>
    <w:p w14:paraId="00000080" w14:textId="2D6A5E86" w:rsidR="00666FAA" w:rsidRDefault="00000000" w:rsidP="00715759">
      <w:pPr>
        <w:pStyle w:val="Body"/>
      </w:pPr>
      <w:r>
        <w:t xml:space="preserve">Il presente regolamento e stato approvato dall'assemblea degli associati in data </w:t>
      </w:r>
      <w:proofErr w:type="spellStart"/>
      <w:r>
        <w:t>data</w:t>
      </w:r>
      <w:proofErr w:type="spellEnd"/>
      <w:r w:rsidR="00A75FA8">
        <w:t xml:space="preserve"> ...</w:t>
      </w:r>
      <w:r>
        <w:t>. contestualmente all’approvazione del Codice Etico ad esso associato</w:t>
      </w:r>
      <w:r w:rsidR="00A75FA8">
        <w:t>.</w:t>
      </w:r>
    </w:p>
    <w:p w14:paraId="00000081" w14:textId="77777777" w:rsidR="00666FAA" w:rsidRDefault="00666FAA" w:rsidP="00715759">
      <w:pPr>
        <w:pStyle w:val="Body"/>
      </w:pPr>
    </w:p>
    <w:p w14:paraId="00000082" w14:textId="77777777" w:rsidR="00666FAA" w:rsidRDefault="00000000" w:rsidP="00715759">
      <w:pPr>
        <w:pStyle w:val="Heading3"/>
        <w:ind w:firstLine="0"/>
      </w:pPr>
      <w:r>
        <w:t xml:space="preserve">15. Diffusione </w:t>
      </w:r>
    </w:p>
    <w:p w14:paraId="00000083" w14:textId="77777777" w:rsidR="00666FAA" w:rsidRDefault="00000000" w:rsidP="00651F12">
      <w:pPr>
        <w:pStyle w:val="Body"/>
      </w:pPr>
      <w:r>
        <w:t xml:space="preserve">Il presente regolamento è reso pubblico sul sito web dell'associazione e su altri canali di comunicazione. </w:t>
      </w:r>
    </w:p>
    <w:p w14:paraId="00000084" w14:textId="77777777" w:rsidR="00666FAA" w:rsidRDefault="00666FAA" w:rsidP="00715759">
      <w:pPr>
        <w:pStyle w:val="Body"/>
        <w:ind w:left="295"/>
      </w:pPr>
    </w:p>
    <w:p w14:paraId="00000085" w14:textId="77777777" w:rsidR="00666FAA" w:rsidRDefault="00000000" w:rsidP="00715759">
      <w:pPr>
        <w:pStyle w:val="Heading3"/>
        <w:ind w:firstLine="0"/>
      </w:pPr>
      <w:r>
        <w:t>16.  Allegati</w:t>
      </w:r>
    </w:p>
    <w:p w14:paraId="2047BFF8" w14:textId="41F37D9A" w:rsidR="003D012E" w:rsidRDefault="00000000" w:rsidP="00897B94">
      <w:pPr>
        <w:pStyle w:val="Body"/>
      </w:pPr>
      <w:r>
        <w:t xml:space="preserve">Allegato I </w:t>
      </w:r>
      <w:proofErr w:type="gramStart"/>
      <w:r>
        <w:t>-  Codice</w:t>
      </w:r>
      <w:proofErr w:type="gramEnd"/>
      <w:r>
        <w:t xml:space="preserve"> Etico</w:t>
      </w:r>
      <w:r>
        <w:rPr>
          <w:rFonts w:ascii="Arial Unicode MS" w:hAnsi="Arial Unicode MS"/>
        </w:rPr>
        <w:br w:type="page"/>
      </w:r>
    </w:p>
    <w:sectPr w:rsidR="003D012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7140" w14:textId="77777777" w:rsidR="002D46B9" w:rsidRDefault="002D46B9">
      <w:r>
        <w:separator/>
      </w:r>
    </w:p>
  </w:endnote>
  <w:endnote w:type="continuationSeparator" w:id="0">
    <w:p w14:paraId="72C06E7F" w14:textId="77777777" w:rsidR="002D46B9" w:rsidRDefault="002D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BA4" w14:textId="77777777" w:rsidR="002D46B9" w:rsidRDefault="002D46B9">
      <w:r>
        <w:separator/>
      </w:r>
    </w:p>
  </w:footnote>
  <w:footnote w:type="continuationSeparator" w:id="0">
    <w:p w14:paraId="194C43B8" w14:textId="77777777" w:rsidR="002D46B9" w:rsidRDefault="002D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0E"/>
    <w:multiLevelType w:val="hybridMultilevel"/>
    <w:tmpl w:val="28EE831A"/>
    <w:styleLink w:val="Numbered"/>
    <w:lvl w:ilvl="0" w:tplc="0554AA9E">
      <w:start w:val="1"/>
      <w:numFmt w:val="decimal"/>
      <w:suff w:val="nothing"/>
      <w:lvlText w:val="%1."/>
      <w:lvlJc w:val="left"/>
      <w:pPr>
        <w:ind w:left="142" w:firstLine="283"/>
      </w:pPr>
      <w:rPr>
        <w:rFonts w:hAnsi="Arial Unicode MS"/>
        <w:i/>
        <w:iCs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12BE5D80">
      <w:start w:val="1"/>
      <w:numFmt w:val="decimal"/>
      <w:lvlText w:val="%2."/>
      <w:lvlJc w:val="left"/>
      <w:pPr>
        <w:tabs>
          <w:tab w:val="num" w:pos="1003"/>
        </w:tabs>
        <w:ind w:left="720" w:hanging="77"/>
      </w:pPr>
      <w:rPr>
        <w:rFonts w:hAnsi="Arial Unicode MS"/>
        <w:i/>
        <w:iCs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2" w:tplc="6A5A6F4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3" w:tplc="86A2712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4" w:tplc="15BEA1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5" w:tplc="C9288A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6" w:tplc="A3A8FBC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7" w:tplc="78DADC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8" w:tplc="F57067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</w:abstractNum>
  <w:abstractNum w:abstractNumId="1" w15:restartNumberingAfterBreak="0">
    <w:nsid w:val="04544068"/>
    <w:multiLevelType w:val="hybridMultilevel"/>
    <w:tmpl w:val="1AC200FC"/>
    <w:numStyleLink w:val="Dash"/>
  </w:abstractNum>
  <w:abstractNum w:abstractNumId="2" w15:restartNumberingAfterBreak="0">
    <w:nsid w:val="13141216"/>
    <w:multiLevelType w:val="hybridMultilevel"/>
    <w:tmpl w:val="F94EBCAE"/>
    <w:lvl w:ilvl="0" w:tplc="D02A80A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7CA2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CC9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C2A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D4C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EE9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A63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DC6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E6A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851C1A"/>
    <w:multiLevelType w:val="hybridMultilevel"/>
    <w:tmpl w:val="28EE831A"/>
    <w:numStyleLink w:val="Numbered"/>
  </w:abstractNum>
  <w:abstractNum w:abstractNumId="4" w15:restartNumberingAfterBreak="0">
    <w:nsid w:val="244C39AD"/>
    <w:multiLevelType w:val="hybridMultilevel"/>
    <w:tmpl w:val="1B6E9382"/>
    <w:lvl w:ilvl="0" w:tplc="919ECB78">
      <w:start w:val="1"/>
      <w:numFmt w:val="decimal"/>
      <w:suff w:val="nothing"/>
      <w:lvlText w:val="%1."/>
      <w:lvlJc w:val="left"/>
      <w:pPr>
        <w:ind w:left="142" w:firstLine="283"/>
      </w:pPr>
      <w:rPr>
        <w:rFonts w:hAnsi="Arial Unicode MS"/>
        <w:i/>
        <w:iCs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7786B75E">
      <w:start w:val="8"/>
      <w:numFmt w:val="bullet"/>
      <w:lvlText w:val="-"/>
      <w:lvlJc w:val="left"/>
      <w:pPr>
        <w:ind w:left="1440" w:hanging="360"/>
      </w:pPr>
      <w:rPr>
        <w:rFonts w:ascii="Helvetica Neue Light" w:eastAsia="Arial Unicode MS" w:hAnsi="Helvetica Neue Light" w:cs="Arial Unicode M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474"/>
    <w:multiLevelType w:val="hybridMultilevel"/>
    <w:tmpl w:val="862CD8D0"/>
    <w:numStyleLink w:val="Bullet"/>
  </w:abstractNum>
  <w:abstractNum w:abstractNumId="6" w15:restartNumberingAfterBreak="0">
    <w:nsid w:val="2CDA6E03"/>
    <w:multiLevelType w:val="hybridMultilevel"/>
    <w:tmpl w:val="062AEAD6"/>
    <w:numStyleLink w:val="Lettered"/>
  </w:abstractNum>
  <w:abstractNum w:abstractNumId="7" w15:restartNumberingAfterBreak="0">
    <w:nsid w:val="48B91560"/>
    <w:multiLevelType w:val="hybridMultilevel"/>
    <w:tmpl w:val="6BDEAA82"/>
    <w:lvl w:ilvl="0" w:tplc="E15035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B3C4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A24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2C4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A61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2CF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2AA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966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E64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D56F44"/>
    <w:multiLevelType w:val="hybridMultilevel"/>
    <w:tmpl w:val="862CD8D0"/>
    <w:numStyleLink w:val="Bullet"/>
  </w:abstractNum>
  <w:abstractNum w:abstractNumId="9" w15:restartNumberingAfterBreak="0">
    <w:nsid w:val="53AA6516"/>
    <w:multiLevelType w:val="hybridMultilevel"/>
    <w:tmpl w:val="862CD8D0"/>
    <w:styleLink w:val="Bullet"/>
    <w:lvl w:ilvl="0" w:tplc="29064394">
      <w:start w:val="1"/>
      <w:numFmt w:val="bullet"/>
      <w:suff w:val="nothing"/>
      <w:lvlText w:val="•"/>
      <w:lvlJc w:val="left"/>
      <w:pPr>
        <w:ind w:left="142" w:firstLine="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DE40E80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2" w:tplc="D106626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3" w:tplc="4A9211E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4" w:tplc="DB76BA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5" w:tplc="D68660B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6" w:tplc="2CC2694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7" w:tplc="9BD611D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8" w:tplc="699E4D3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</w:abstractNum>
  <w:abstractNum w:abstractNumId="10" w15:restartNumberingAfterBreak="0">
    <w:nsid w:val="6C1A785A"/>
    <w:multiLevelType w:val="hybridMultilevel"/>
    <w:tmpl w:val="EDB03D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3850831"/>
    <w:multiLevelType w:val="hybridMultilevel"/>
    <w:tmpl w:val="BA9EB322"/>
    <w:lvl w:ilvl="0" w:tplc="919ECB78">
      <w:start w:val="1"/>
      <w:numFmt w:val="decimal"/>
      <w:suff w:val="nothing"/>
      <w:lvlText w:val="%1."/>
      <w:lvlJc w:val="left"/>
      <w:pPr>
        <w:ind w:left="340" w:firstLine="283"/>
      </w:pPr>
      <w:rPr>
        <w:rFonts w:hAnsi="Arial Unicode MS"/>
        <w:i/>
        <w:iCs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638" w:hanging="360"/>
      </w:pPr>
    </w:lvl>
    <w:lvl w:ilvl="2" w:tplc="0809001B" w:tentative="1">
      <w:start w:val="1"/>
      <w:numFmt w:val="lowerRoman"/>
      <w:lvlText w:val="%3."/>
      <w:lvlJc w:val="right"/>
      <w:pPr>
        <w:ind w:left="2358" w:hanging="180"/>
      </w:pPr>
    </w:lvl>
    <w:lvl w:ilvl="3" w:tplc="0809000F" w:tentative="1">
      <w:start w:val="1"/>
      <w:numFmt w:val="decimal"/>
      <w:lvlText w:val="%4."/>
      <w:lvlJc w:val="left"/>
      <w:pPr>
        <w:ind w:left="3078" w:hanging="360"/>
      </w:pPr>
    </w:lvl>
    <w:lvl w:ilvl="4" w:tplc="08090019" w:tentative="1">
      <w:start w:val="1"/>
      <w:numFmt w:val="lowerLetter"/>
      <w:lvlText w:val="%5."/>
      <w:lvlJc w:val="left"/>
      <w:pPr>
        <w:ind w:left="3798" w:hanging="360"/>
      </w:pPr>
    </w:lvl>
    <w:lvl w:ilvl="5" w:tplc="0809001B" w:tentative="1">
      <w:start w:val="1"/>
      <w:numFmt w:val="lowerRoman"/>
      <w:lvlText w:val="%6."/>
      <w:lvlJc w:val="right"/>
      <w:pPr>
        <w:ind w:left="4518" w:hanging="180"/>
      </w:pPr>
    </w:lvl>
    <w:lvl w:ilvl="6" w:tplc="0809000F" w:tentative="1">
      <w:start w:val="1"/>
      <w:numFmt w:val="decimal"/>
      <w:lvlText w:val="%7."/>
      <w:lvlJc w:val="left"/>
      <w:pPr>
        <w:ind w:left="5238" w:hanging="360"/>
      </w:pPr>
    </w:lvl>
    <w:lvl w:ilvl="7" w:tplc="08090019" w:tentative="1">
      <w:start w:val="1"/>
      <w:numFmt w:val="lowerLetter"/>
      <w:lvlText w:val="%8."/>
      <w:lvlJc w:val="left"/>
      <w:pPr>
        <w:ind w:left="5958" w:hanging="360"/>
      </w:pPr>
    </w:lvl>
    <w:lvl w:ilvl="8" w:tplc="08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742E4DCA"/>
    <w:multiLevelType w:val="hybridMultilevel"/>
    <w:tmpl w:val="1AC200FC"/>
    <w:styleLink w:val="Dash"/>
    <w:lvl w:ilvl="0" w:tplc="0C50C0E2">
      <w:start w:val="1"/>
      <w:numFmt w:val="bullet"/>
      <w:suff w:val="nothing"/>
      <w:lvlText w:val="-"/>
      <w:lvlJc w:val="left"/>
      <w:pPr>
        <w:ind w:left="142" w:firstLine="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sz w:val="26"/>
        <w:szCs w:val="26"/>
        <w:highlight w:val="none"/>
        <w:vertAlign w:val="baseline"/>
      </w:rPr>
    </w:lvl>
    <w:lvl w:ilvl="1" w:tplc="3B1E6F7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2" w:tplc="C5CE25D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3" w:tplc="EEF029A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4" w:tplc="BEEE2D4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5" w:tplc="F5880C9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6" w:tplc="334AFD3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7" w:tplc="7C60E50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  <w:lvl w:ilvl="8" w:tplc="2980931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4"/>
        <w:sz w:val="26"/>
        <w:szCs w:val="26"/>
        <w:highlight w:val="none"/>
        <w:vertAlign w:val="baseline"/>
      </w:rPr>
    </w:lvl>
  </w:abstractNum>
  <w:abstractNum w:abstractNumId="13" w15:restartNumberingAfterBreak="0">
    <w:nsid w:val="77D16F9E"/>
    <w:multiLevelType w:val="hybridMultilevel"/>
    <w:tmpl w:val="862CD8D0"/>
    <w:numStyleLink w:val="Bullet"/>
  </w:abstractNum>
  <w:abstractNum w:abstractNumId="14" w15:restartNumberingAfterBreak="0">
    <w:nsid w:val="7A492137"/>
    <w:multiLevelType w:val="hybridMultilevel"/>
    <w:tmpl w:val="062AEAD6"/>
    <w:styleLink w:val="Lettered"/>
    <w:lvl w:ilvl="0" w:tplc="9FD40EC4">
      <w:start w:val="1"/>
      <w:numFmt w:val="upperLetter"/>
      <w:suff w:val="nothing"/>
      <w:lvlText w:val="%1."/>
      <w:lvlJc w:val="left"/>
      <w:pPr>
        <w:ind w:left="142" w:firstLine="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B1C083C8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2" w:tplc="FCAE575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3" w:tplc="1FF8C68A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4" w:tplc="5268CBB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5" w:tplc="9904D92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6" w:tplc="9E767D94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7" w:tplc="2DD24F0E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8" w:tplc="2A60F9F2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</w:abstractNum>
  <w:abstractNum w:abstractNumId="15" w15:restartNumberingAfterBreak="0">
    <w:nsid w:val="7E6549B6"/>
    <w:multiLevelType w:val="hybridMultilevel"/>
    <w:tmpl w:val="28EE831A"/>
    <w:numStyleLink w:val="Numbered"/>
  </w:abstractNum>
  <w:num w:numId="1" w16cid:durableId="1670981874">
    <w:abstractNumId w:val="0"/>
  </w:num>
  <w:num w:numId="2" w16cid:durableId="1284849092">
    <w:abstractNumId w:val="3"/>
  </w:num>
  <w:num w:numId="3" w16cid:durableId="155189736">
    <w:abstractNumId w:val="9"/>
  </w:num>
  <w:num w:numId="4" w16cid:durableId="1166165771">
    <w:abstractNumId w:val="8"/>
  </w:num>
  <w:num w:numId="5" w16cid:durableId="89469681">
    <w:abstractNumId w:val="14"/>
  </w:num>
  <w:num w:numId="6" w16cid:durableId="221332524">
    <w:abstractNumId w:val="6"/>
  </w:num>
  <w:num w:numId="7" w16cid:durableId="1270774446">
    <w:abstractNumId w:val="3"/>
    <w:lvlOverride w:ilvl="0">
      <w:startOverride w:val="7"/>
    </w:lvlOverride>
  </w:num>
  <w:num w:numId="8" w16cid:durableId="655378237">
    <w:abstractNumId w:val="12"/>
  </w:num>
  <w:num w:numId="9" w16cid:durableId="510418355">
    <w:abstractNumId w:val="1"/>
  </w:num>
  <w:num w:numId="10" w16cid:durableId="763304811">
    <w:abstractNumId w:val="15"/>
  </w:num>
  <w:num w:numId="11" w16cid:durableId="1862745131">
    <w:abstractNumId w:val="5"/>
  </w:num>
  <w:num w:numId="12" w16cid:durableId="1315060860">
    <w:abstractNumId w:val="13"/>
  </w:num>
  <w:num w:numId="13" w16cid:durableId="766733081">
    <w:abstractNumId w:val="2"/>
  </w:num>
  <w:num w:numId="14" w16cid:durableId="11803080">
    <w:abstractNumId w:val="7"/>
  </w:num>
  <w:num w:numId="15" w16cid:durableId="2027946324">
    <w:abstractNumId w:val="4"/>
  </w:num>
  <w:num w:numId="16" w16cid:durableId="593637047">
    <w:abstractNumId w:val="10"/>
  </w:num>
  <w:num w:numId="17" w16cid:durableId="887257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89"/>
    <w:rsid w:val="000026AC"/>
    <w:rsid w:val="00057648"/>
    <w:rsid w:val="00066729"/>
    <w:rsid w:val="00242111"/>
    <w:rsid w:val="002D2432"/>
    <w:rsid w:val="002D46B9"/>
    <w:rsid w:val="00324661"/>
    <w:rsid w:val="00331D6E"/>
    <w:rsid w:val="00397E9F"/>
    <w:rsid w:val="003B2A7B"/>
    <w:rsid w:val="003D012E"/>
    <w:rsid w:val="003F1508"/>
    <w:rsid w:val="0046440F"/>
    <w:rsid w:val="00474DAD"/>
    <w:rsid w:val="005F1CBA"/>
    <w:rsid w:val="00604761"/>
    <w:rsid w:val="00651F12"/>
    <w:rsid w:val="00656C02"/>
    <w:rsid w:val="00666FAA"/>
    <w:rsid w:val="00667B73"/>
    <w:rsid w:val="006D256B"/>
    <w:rsid w:val="006F7DBB"/>
    <w:rsid w:val="00715759"/>
    <w:rsid w:val="00745139"/>
    <w:rsid w:val="00875E60"/>
    <w:rsid w:val="00897B22"/>
    <w:rsid w:val="00897B94"/>
    <w:rsid w:val="008C7589"/>
    <w:rsid w:val="0090519F"/>
    <w:rsid w:val="009462EF"/>
    <w:rsid w:val="0096313E"/>
    <w:rsid w:val="009831A1"/>
    <w:rsid w:val="009902BB"/>
    <w:rsid w:val="009C284A"/>
    <w:rsid w:val="00A75FA8"/>
    <w:rsid w:val="00A8099B"/>
    <w:rsid w:val="00A901F6"/>
    <w:rsid w:val="00AA7A03"/>
    <w:rsid w:val="00B37C2B"/>
    <w:rsid w:val="00B53680"/>
    <w:rsid w:val="00B8153E"/>
    <w:rsid w:val="00CA6447"/>
    <w:rsid w:val="00CC476F"/>
    <w:rsid w:val="00D87336"/>
    <w:rsid w:val="00D92777"/>
    <w:rsid w:val="00DA5209"/>
    <w:rsid w:val="00E01708"/>
    <w:rsid w:val="00E12AE1"/>
    <w:rsid w:val="00E80AB4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D9A21"/>
  <w15:docId w15:val="{4723E4AC-C0EB-431C-AD2A-51DF294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pPr>
      <w:keepNext/>
      <w:spacing w:before="60" w:after="60"/>
      <w:ind w:firstLine="283"/>
      <w:outlineLvl w:val="2"/>
    </w:pPr>
    <w:rPr>
      <w:rFonts w:ascii="Helvetica Neue" w:hAnsi="Helvetica Neue" w:cs="Arial Unicode MS"/>
      <w:i/>
      <w:iCs/>
      <w:color w:val="0433F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A2FF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A2FF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16E7C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6E7C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5E5E5E" w:themeColor="text2"/>
      <w:sz w:val="18"/>
      <w:szCs w:val="18"/>
    </w:rPr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uiPriority w:val="99"/>
    <w:pPr>
      <w:tabs>
        <w:tab w:val="left" w:pos="57"/>
      </w:tabs>
      <w:spacing w:after="20"/>
      <w:jc w:val="both"/>
    </w:pPr>
    <w:rPr>
      <w:rFonts w:ascii="Helvetica Neue Light" w:hAnsi="Helvetica Neue Light" w:cs="Arial Unicode MS"/>
      <w:color w:val="000000"/>
      <w:sz w:val="22"/>
      <w:szCs w:val="22"/>
    </w:rPr>
  </w:style>
  <w:style w:type="paragraph" w:styleId="Title">
    <w:name w:val="Title"/>
    <w:next w:val="Body"/>
    <w:link w:val="TitleChar"/>
    <w:uiPriority w:val="10"/>
    <w:qFormat/>
    <w:pPr>
      <w:keepNext/>
      <w:spacing w:after="120"/>
    </w:pPr>
    <w:rPr>
      <w:rFonts w:ascii="Helvetica Neue" w:hAnsi="Helvetica Neue" w:cs="Arial Unicode MS"/>
      <w:color w:val="0433FF"/>
      <w:sz w:val="36"/>
      <w:szCs w:val="36"/>
    </w:rPr>
  </w:style>
  <w:style w:type="numbering" w:customStyle="1" w:styleId="Numbered">
    <w:name w:val="Numbered"/>
    <w:uiPriority w:val="99"/>
    <w:pPr>
      <w:numPr>
        <w:numId w:val="1"/>
      </w:numPr>
    </w:pPr>
  </w:style>
  <w:style w:type="numbering" w:customStyle="1" w:styleId="Bullet">
    <w:name w:val="Bullet"/>
    <w:uiPriority w:val="99"/>
    <w:pPr>
      <w:numPr>
        <w:numId w:val="3"/>
      </w:numPr>
    </w:pPr>
  </w:style>
  <w:style w:type="numbering" w:customStyle="1" w:styleId="Lettered">
    <w:name w:val="Lettered"/>
    <w:uiPriority w:val="99"/>
    <w:pPr>
      <w:numPr>
        <w:numId w:val="5"/>
      </w:numPr>
    </w:pPr>
  </w:style>
  <w:style w:type="numbering" w:customStyle="1" w:styleId="Dash">
    <w:name w:val="Dash"/>
    <w:uiPriority w:val="99"/>
    <w:pPr>
      <w:numPr>
        <w:numId w:val="8"/>
      </w:numPr>
    </w:pPr>
  </w:style>
  <w:style w:type="paragraph" w:styleId="Subtitle">
    <w:name w:val="Subtitle"/>
    <w:next w:val="Body"/>
    <w:link w:val="SubtitleChar"/>
    <w:uiPriority w:val="11"/>
    <w:qFormat/>
    <w:pPr>
      <w:keepNext/>
      <w:spacing w:after="240"/>
    </w:pPr>
    <w:rPr>
      <w:rFonts w:ascii="Helvetica Neue" w:hAnsi="Helvetica Neue" w:cs="Arial Unicode MS"/>
      <w:color w:val="0433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 Neue"/>
        <a:ea typeface="Helvetica Neue"/>
        <a:cs typeface="Helvetica Neue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Zambon Group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DN</dc:creator>
  <cp:lastModifiedBy>Donatella Capone</cp:lastModifiedBy>
  <cp:revision>4</cp:revision>
  <dcterms:created xsi:type="dcterms:W3CDTF">2024-02-21T20:34:00Z</dcterms:created>
  <dcterms:modified xsi:type="dcterms:W3CDTF">2024-06-15T17:10:00Z</dcterms:modified>
</cp:coreProperties>
</file>